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07898" w:rsidP="00507898" w14:paraId="360A3BB2" w14:textId="77777777">
      <w:pPr>
        <w:ind w:firstLine="0"/>
        <w:jc w:val="center"/>
        <w:rPr>
          <w:rFonts w:ascii="Times New Roman" w:hAnsi="Times New Roman" w:cs="Times New Roman"/>
          <w:sz w:val="24"/>
          <w:szCs w:val="24"/>
        </w:rPr>
      </w:pPr>
    </w:p>
    <w:p w:rsidR="00507898" w:rsidP="00507898" w14:paraId="53CC8C01" w14:textId="77777777">
      <w:pPr>
        <w:ind w:firstLine="0"/>
        <w:jc w:val="center"/>
        <w:rPr>
          <w:rFonts w:ascii="Times New Roman" w:hAnsi="Times New Roman" w:cs="Times New Roman"/>
          <w:sz w:val="24"/>
          <w:szCs w:val="24"/>
        </w:rPr>
      </w:pPr>
    </w:p>
    <w:p w:rsidR="00507898" w:rsidP="00507898" w14:paraId="216175F1" w14:textId="77777777">
      <w:pPr>
        <w:ind w:firstLine="0"/>
        <w:jc w:val="center"/>
        <w:rPr>
          <w:rFonts w:ascii="Times New Roman" w:hAnsi="Times New Roman" w:cs="Times New Roman"/>
          <w:sz w:val="24"/>
          <w:szCs w:val="24"/>
        </w:rPr>
      </w:pPr>
    </w:p>
    <w:p w:rsidR="00507898" w:rsidP="00507898" w14:paraId="31B245D1" w14:textId="77777777">
      <w:pPr>
        <w:ind w:firstLine="0"/>
        <w:jc w:val="center"/>
        <w:rPr>
          <w:rFonts w:ascii="Times New Roman" w:hAnsi="Times New Roman" w:cs="Times New Roman"/>
          <w:sz w:val="24"/>
          <w:szCs w:val="24"/>
        </w:rPr>
      </w:pPr>
    </w:p>
    <w:p w:rsidR="00507898" w:rsidP="00507898" w14:paraId="2222A3AD" w14:textId="77777777">
      <w:pPr>
        <w:ind w:firstLine="0"/>
        <w:jc w:val="center"/>
        <w:rPr>
          <w:rFonts w:ascii="Times New Roman" w:hAnsi="Times New Roman" w:cs="Times New Roman"/>
          <w:sz w:val="24"/>
          <w:szCs w:val="24"/>
        </w:rPr>
      </w:pPr>
    </w:p>
    <w:p w:rsidR="00507898" w:rsidP="00507898" w14:paraId="6BA576BB" w14:textId="1F2D264A">
      <w:pPr>
        <w:ind w:firstLine="0"/>
        <w:jc w:val="center"/>
        <w:rPr>
          <w:rFonts w:ascii="Times New Roman" w:hAnsi="Times New Roman" w:cs="Times New Roman"/>
          <w:sz w:val="24"/>
          <w:szCs w:val="24"/>
        </w:rPr>
      </w:pPr>
      <w:r>
        <w:rPr>
          <w:rFonts w:ascii="Times New Roman" w:hAnsi="Times New Roman" w:cs="Times New Roman"/>
          <w:sz w:val="24"/>
          <w:szCs w:val="24"/>
        </w:rPr>
        <w:t>AMA Code of Ethics</w:t>
      </w:r>
    </w:p>
    <w:p w:rsidR="00507898" w:rsidP="00507898" w14:paraId="450A99E0" w14:textId="77777777">
      <w:pPr>
        <w:jc w:val="center"/>
        <w:rPr>
          <w:rFonts w:ascii="Times New Roman" w:hAnsi="Times New Roman" w:cs="Times New Roman"/>
          <w:sz w:val="24"/>
          <w:szCs w:val="24"/>
        </w:rPr>
      </w:pPr>
    </w:p>
    <w:p w:rsidR="00507898" w:rsidP="00507898" w14:paraId="5360BD46" w14:textId="77777777">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507898" w:rsidP="00507898" w14:paraId="55629CA7" w14:textId="77777777">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507898" w:rsidP="00507898" w14:paraId="62510A80" w14:textId="77777777">
      <w:pPr>
        <w:ind w:firstLine="0"/>
        <w:jc w:val="center"/>
        <w:rPr>
          <w:rFonts w:ascii="Times New Roman" w:hAnsi="Times New Roman" w:cs="Times New Roman"/>
          <w:sz w:val="24"/>
          <w:szCs w:val="24"/>
        </w:rPr>
      </w:pPr>
      <w:r>
        <w:rPr>
          <w:rFonts w:ascii="Times New Roman" w:hAnsi="Times New Roman" w:cs="Times New Roman"/>
          <w:sz w:val="24"/>
          <w:szCs w:val="24"/>
        </w:rPr>
        <w:t>Course</w:t>
      </w:r>
    </w:p>
    <w:p w:rsidR="00507898" w:rsidP="00507898" w14:paraId="505631A8" w14:textId="77777777">
      <w:pPr>
        <w:ind w:firstLine="0"/>
        <w:jc w:val="center"/>
        <w:rPr>
          <w:rFonts w:ascii="Times New Roman" w:hAnsi="Times New Roman" w:cs="Times New Roman"/>
          <w:sz w:val="24"/>
          <w:szCs w:val="24"/>
        </w:rPr>
      </w:pPr>
      <w:r>
        <w:rPr>
          <w:rFonts w:ascii="Times New Roman" w:hAnsi="Times New Roman" w:cs="Times New Roman"/>
          <w:sz w:val="24"/>
          <w:szCs w:val="24"/>
        </w:rPr>
        <w:t>Instructor</w:t>
      </w:r>
    </w:p>
    <w:p w:rsidR="00507898" w:rsidP="00507898" w14:paraId="56BF1DEA" w14:textId="5C7A0B99">
      <w:pPr>
        <w:ind w:firstLine="0"/>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7D5649" w:rsidP="00BC40E1" w14:paraId="28BD7747" w14:textId="1358F517">
      <w:pPr>
        <w:ind w:firstLine="0"/>
        <w:rPr>
          <w:rFonts w:ascii="Times New Roman" w:hAnsi="Times New Roman" w:cs="Times New Roman"/>
          <w:sz w:val="24"/>
          <w:szCs w:val="24"/>
        </w:rPr>
      </w:pPr>
      <w:r>
        <w:rPr>
          <w:rFonts w:ascii="Times New Roman" w:hAnsi="Times New Roman" w:cs="Times New Roman"/>
          <w:sz w:val="24"/>
          <w:szCs w:val="24"/>
        </w:rPr>
        <w:t>Direct-to-consumer pharmaceutical advertising is a strategy that pharmaceutical companies use in marketing. The company creat</w:t>
      </w:r>
      <w:r w:rsidR="00457600">
        <w:rPr>
          <w:rFonts w:ascii="Times New Roman" w:hAnsi="Times New Roman" w:cs="Times New Roman"/>
          <w:sz w:val="24"/>
          <w:szCs w:val="24"/>
        </w:rPr>
        <w:t>e</w:t>
      </w:r>
      <w:r>
        <w:rPr>
          <w:rFonts w:ascii="Times New Roman" w:hAnsi="Times New Roman" w:cs="Times New Roman"/>
          <w:sz w:val="24"/>
          <w:szCs w:val="24"/>
        </w:rPr>
        <w:t xml:space="preserve">s awareness </w:t>
      </w:r>
      <w:r w:rsidR="00457600">
        <w:rPr>
          <w:rFonts w:ascii="Times New Roman" w:hAnsi="Times New Roman" w:cs="Times New Roman"/>
          <w:sz w:val="24"/>
          <w:szCs w:val="24"/>
        </w:rPr>
        <w:t>of the products to their customers using this advertisement. One of the advantages associated with DTCPA is preventive care</w:t>
      </w:r>
      <w:r w:rsidR="00634BFA">
        <w:rPr>
          <w:rFonts w:ascii="Times New Roman" w:hAnsi="Times New Roman" w:cs="Times New Roman"/>
          <w:sz w:val="24"/>
          <w:szCs w:val="24"/>
        </w:rPr>
        <w:t xml:space="preserve">. The company argues that this advertisement gives people the motivation of going to doctors to seek preventative treatment. another advantage is that the public positively responds to the advertisement. A study shows that </w:t>
      </w:r>
      <w:r w:rsidR="006A03FC">
        <w:rPr>
          <w:rFonts w:ascii="Times New Roman" w:hAnsi="Times New Roman" w:cs="Times New Roman"/>
          <w:sz w:val="24"/>
          <w:szCs w:val="24"/>
        </w:rPr>
        <w:t xml:space="preserve">many people positively respond to increased advertisements of prescription drugs. Lastly, many physicians argue that through direct watching of advertisements, consumers ask logical and better questions. </w:t>
      </w:r>
    </w:p>
    <w:p w:rsidR="006A03FC" w:rsidP="00BC40E1" w14:paraId="4449A7D2" w14:textId="2B17A89B">
      <w:pPr>
        <w:ind w:firstLine="0"/>
        <w:rPr>
          <w:rFonts w:ascii="Times New Roman" w:hAnsi="Times New Roman" w:cs="Times New Roman"/>
          <w:sz w:val="24"/>
          <w:szCs w:val="24"/>
        </w:rPr>
      </w:pPr>
      <w:r>
        <w:rPr>
          <w:rFonts w:ascii="Times New Roman" w:hAnsi="Times New Roman" w:cs="Times New Roman"/>
          <w:sz w:val="24"/>
          <w:szCs w:val="24"/>
        </w:rPr>
        <w:tab/>
        <w:t>On the other hand, DTCPA has several disadvantages that are linked to it</w:t>
      </w:r>
      <w:r w:rsidR="00BB42AF">
        <w:rPr>
          <w:rFonts w:ascii="Times New Roman" w:hAnsi="Times New Roman" w:cs="Times New Roman"/>
          <w:sz w:val="24"/>
          <w:szCs w:val="24"/>
        </w:rPr>
        <w:t xml:space="preserve">. One such disadvantage is that there is the possibility of misinformation. The advertisement </w:t>
      </w:r>
      <w:r w:rsidR="00401D80">
        <w:rPr>
          <w:rFonts w:ascii="Times New Roman" w:hAnsi="Times New Roman" w:cs="Times New Roman"/>
          <w:sz w:val="24"/>
          <w:szCs w:val="24"/>
        </w:rPr>
        <w:t xml:space="preserve">omits essential information such as prevalence and the risk factors. The advertisement reportedly lacks messaging and language clarity. Additionally, the DTCPA leads to an increase in medical costs incurred by patients. The advertisement wrongly convinces patients that </w:t>
      </w:r>
      <w:r w:rsidR="00002BD7">
        <w:rPr>
          <w:rFonts w:ascii="Times New Roman" w:hAnsi="Times New Roman" w:cs="Times New Roman"/>
          <w:sz w:val="24"/>
          <w:szCs w:val="24"/>
        </w:rPr>
        <w:t>the more expensive drugs may be more beneficial than the cheaper ones. Also, the DTCPA strains how the patients relate with the healthcare providers. Some providers claim that convincing patients about the inappropriateness of drugs waste the time meant for appointment</w:t>
      </w:r>
      <w:r w:rsidRPr="00507898" w:rsidR="00507898">
        <w:rPr>
          <w:rFonts w:ascii="Times New Roman" w:hAnsi="Times New Roman" w:cs="Times New Roman"/>
          <w:sz w:val="24"/>
          <w:szCs w:val="24"/>
        </w:rPr>
        <w:t xml:space="preserve"> </w:t>
      </w:r>
      <w:r w:rsidR="00507898">
        <w:rPr>
          <w:rFonts w:ascii="Times New Roman" w:hAnsi="Times New Roman" w:cs="Times New Roman"/>
          <w:sz w:val="24"/>
          <w:szCs w:val="24"/>
        </w:rPr>
        <w:t>(</w:t>
      </w:r>
      <w:r w:rsidRPr="00507898" w:rsidR="00507898">
        <w:rPr>
          <w:rFonts w:ascii="Times New Roman" w:hAnsi="Times New Roman" w:cs="Times New Roman"/>
          <w:sz w:val="24"/>
          <w:szCs w:val="24"/>
        </w:rPr>
        <w:t>Rentmeester,</w:t>
      </w:r>
      <w:r w:rsidR="00507898">
        <w:rPr>
          <w:rFonts w:ascii="Times New Roman" w:hAnsi="Times New Roman" w:cs="Times New Roman"/>
          <w:sz w:val="24"/>
          <w:szCs w:val="24"/>
        </w:rPr>
        <w:t xml:space="preserve"> </w:t>
      </w:r>
      <w:r w:rsidRPr="00507898" w:rsidR="00507898">
        <w:rPr>
          <w:rFonts w:ascii="Times New Roman" w:hAnsi="Times New Roman" w:cs="Times New Roman"/>
          <w:sz w:val="24"/>
          <w:szCs w:val="24"/>
        </w:rPr>
        <w:t>2020).</w:t>
      </w:r>
    </w:p>
    <w:p w:rsidR="00002BD7" w:rsidP="00BC40E1" w14:paraId="12A609A1" w14:textId="56C51E1C">
      <w:pPr>
        <w:ind w:firstLine="0"/>
        <w:rPr>
          <w:rFonts w:ascii="Times New Roman" w:hAnsi="Times New Roman" w:cs="Times New Roman"/>
          <w:sz w:val="24"/>
          <w:szCs w:val="24"/>
        </w:rPr>
      </w:pPr>
      <w:r>
        <w:rPr>
          <w:rFonts w:ascii="Times New Roman" w:hAnsi="Times New Roman" w:cs="Times New Roman"/>
          <w:sz w:val="24"/>
          <w:szCs w:val="24"/>
        </w:rPr>
        <w:tab/>
      </w:r>
      <w:r w:rsidR="00C13AE3">
        <w:rPr>
          <w:rFonts w:ascii="Times New Roman" w:hAnsi="Times New Roman" w:cs="Times New Roman"/>
          <w:sz w:val="24"/>
          <w:szCs w:val="24"/>
        </w:rPr>
        <w:t xml:space="preserve">According to the AMA Code of Ethics, one of the possible ethical violations is honesty. The American Market Association </w:t>
      </w:r>
      <w:r w:rsidR="009143DA">
        <w:rPr>
          <w:rFonts w:ascii="Times New Roman" w:hAnsi="Times New Roman" w:cs="Times New Roman"/>
          <w:sz w:val="24"/>
          <w:szCs w:val="24"/>
        </w:rPr>
        <w:t xml:space="preserve">seeks to be straightforward in its dealings with customers and other stakeholders. The association seeks to strive in being truthful in the situations that come their way all the time. The second ethical value of this association is responsibility. The association accepts the outcomes of the decisions they make concerning their marketing. They do this by </w:t>
      </w:r>
      <w:r w:rsidR="00AA07BB">
        <w:rPr>
          <w:rFonts w:ascii="Times New Roman" w:hAnsi="Times New Roman" w:cs="Times New Roman"/>
          <w:sz w:val="24"/>
          <w:szCs w:val="24"/>
        </w:rPr>
        <w:t xml:space="preserve">enhancing such actions as striving to serve the needs of their clients, avoiding the usage of coercion with stakeholders, and acknowledging their social responsibilities to the </w:t>
      </w:r>
      <w:r w:rsidR="00AA07BB">
        <w:rPr>
          <w:rFonts w:ascii="Times New Roman" w:hAnsi="Times New Roman" w:cs="Times New Roman"/>
          <w:sz w:val="24"/>
          <w:szCs w:val="24"/>
        </w:rPr>
        <w:t xml:space="preserve">stakeholders. Another ethical issue that the association holds is </w:t>
      </w:r>
      <w:r w:rsidR="00DC1506">
        <w:rPr>
          <w:rFonts w:ascii="Times New Roman" w:hAnsi="Times New Roman" w:cs="Times New Roman"/>
          <w:sz w:val="24"/>
          <w:szCs w:val="24"/>
        </w:rPr>
        <w:t xml:space="preserve">fairness. They require that there should balance between the buyers' needs and the interests of the seller. </w:t>
      </w:r>
      <w:r w:rsidR="007F4CB7">
        <w:rPr>
          <w:rFonts w:ascii="Times New Roman" w:hAnsi="Times New Roman" w:cs="Times New Roman"/>
          <w:sz w:val="24"/>
          <w:szCs w:val="24"/>
        </w:rPr>
        <w:t xml:space="preserve">Through fairness, they seek to ensure that people should avoid sales tactics and manipulations that are likely to harm the trust of the customer. </w:t>
      </w:r>
      <w:r w:rsidR="00A67428">
        <w:rPr>
          <w:rFonts w:ascii="Times New Roman" w:hAnsi="Times New Roman" w:cs="Times New Roman"/>
          <w:sz w:val="24"/>
          <w:szCs w:val="24"/>
        </w:rPr>
        <w:t xml:space="preserve"> Also under the fairness ethic, people should protect the information of the partners, employees, and customers</w:t>
      </w:r>
      <w:r w:rsidR="00507898">
        <w:rPr>
          <w:rFonts w:ascii="Times New Roman" w:hAnsi="Times New Roman" w:cs="Times New Roman"/>
          <w:sz w:val="24"/>
          <w:szCs w:val="24"/>
        </w:rPr>
        <w:t xml:space="preserve"> </w:t>
      </w:r>
      <w:r w:rsidRPr="00507898" w:rsidR="00507898">
        <w:rPr>
          <w:rFonts w:ascii="Times New Roman" w:hAnsi="Times New Roman" w:cs="Times New Roman"/>
          <w:sz w:val="24"/>
          <w:szCs w:val="24"/>
        </w:rPr>
        <w:t>(Chelouche &amp; Wynia, 2021)</w:t>
      </w:r>
      <w:r w:rsidR="00A67428">
        <w:rPr>
          <w:rFonts w:ascii="Times New Roman" w:hAnsi="Times New Roman" w:cs="Times New Roman"/>
          <w:sz w:val="24"/>
          <w:szCs w:val="24"/>
        </w:rPr>
        <w:t xml:space="preserve">. </w:t>
      </w:r>
    </w:p>
    <w:p w:rsidR="00A67428" w:rsidP="00A67428" w14:paraId="548FA232" w14:textId="54170CF5">
      <w:pPr>
        <w:rPr>
          <w:rFonts w:ascii="Times New Roman" w:hAnsi="Times New Roman" w:cs="Times New Roman"/>
          <w:sz w:val="24"/>
          <w:szCs w:val="24"/>
        </w:rPr>
      </w:pPr>
      <w:r>
        <w:rPr>
          <w:rFonts w:ascii="Times New Roman" w:hAnsi="Times New Roman" w:cs="Times New Roman"/>
          <w:sz w:val="24"/>
          <w:szCs w:val="24"/>
        </w:rPr>
        <w:t xml:space="preserve">Another code of ethics in this category is citizenship. The association seeks to </w:t>
      </w:r>
      <w:r w:rsidR="00DE68BC">
        <w:rPr>
          <w:rFonts w:ascii="Times New Roman" w:hAnsi="Times New Roman" w:cs="Times New Roman"/>
          <w:sz w:val="24"/>
          <w:szCs w:val="24"/>
        </w:rPr>
        <w:t>fulfill societal, philanthropic, legal, and economic responsibilities. To enhance this, this code of ethics serves the community through charitable donations and volunteerism; contributing towards the improvement of marketing and promoting its reputation</w:t>
      </w:r>
      <w:r w:rsidRPr="00507898" w:rsidR="00507898">
        <w:rPr>
          <w:rFonts w:ascii="Times New Roman" w:hAnsi="Times New Roman" w:cs="Times New Roman"/>
          <w:sz w:val="24"/>
          <w:szCs w:val="24"/>
        </w:rPr>
        <w:t xml:space="preserve"> </w:t>
      </w:r>
      <w:r w:rsidR="00507898">
        <w:rPr>
          <w:rFonts w:ascii="Times New Roman" w:hAnsi="Times New Roman" w:cs="Times New Roman"/>
          <w:sz w:val="24"/>
          <w:szCs w:val="24"/>
        </w:rPr>
        <w:t>(</w:t>
      </w:r>
      <w:r w:rsidRPr="00507898" w:rsidR="00507898">
        <w:rPr>
          <w:rFonts w:ascii="Times New Roman" w:hAnsi="Times New Roman" w:cs="Times New Roman"/>
          <w:sz w:val="24"/>
          <w:szCs w:val="24"/>
        </w:rPr>
        <w:t>Vox</w:t>
      </w:r>
      <w:r w:rsidR="00507898">
        <w:rPr>
          <w:rFonts w:ascii="Times New Roman" w:hAnsi="Times New Roman" w:cs="Times New Roman"/>
          <w:sz w:val="24"/>
          <w:szCs w:val="24"/>
        </w:rPr>
        <w:t xml:space="preserve">, </w:t>
      </w:r>
      <w:r w:rsidRPr="00507898" w:rsidR="00507898">
        <w:rPr>
          <w:rFonts w:ascii="Times New Roman" w:hAnsi="Times New Roman" w:cs="Times New Roman"/>
          <w:sz w:val="24"/>
          <w:szCs w:val="24"/>
        </w:rPr>
        <w:t>2016)</w:t>
      </w:r>
      <w:r w:rsidR="00DE68BC">
        <w:rPr>
          <w:rFonts w:ascii="Times New Roman" w:hAnsi="Times New Roman" w:cs="Times New Roman"/>
          <w:sz w:val="24"/>
          <w:szCs w:val="24"/>
        </w:rPr>
        <w:t>. Lastly, we have respect as another code of ethic</w:t>
      </w:r>
      <w:r w:rsidR="00AE3CE5">
        <w:rPr>
          <w:rFonts w:ascii="Times New Roman" w:hAnsi="Times New Roman" w:cs="Times New Roman"/>
          <w:sz w:val="24"/>
          <w:szCs w:val="24"/>
        </w:rPr>
        <w:t>s. It seeks to promote the stakeholders' human dignity. This is achieved through valuing individual differences. Also, it is achieved by treating all people as they would wish to be treated. This should also include the competitors, who should be treated with dignity and not as enemies</w:t>
      </w:r>
      <w:r w:rsidRPr="00507898" w:rsidR="00507898">
        <w:rPr>
          <w:rFonts w:ascii="Times New Roman" w:hAnsi="Times New Roman" w:cs="Times New Roman"/>
          <w:sz w:val="24"/>
          <w:szCs w:val="24"/>
        </w:rPr>
        <w:t xml:space="preserve"> </w:t>
      </w:r>
      <w:r w:rsidR="00507898">
        <w:rPr>
          <w:rFonts w:ascii="Times New Roman" w:hAnsi="Times New Roman" w:cs="Times New Roman"/>
          <w:sz w:val="24"/>
          <w:szCs w:val="24"/>
        </w:rPr>
        <w:t>(</w:t>
      </w:r>
      <w:r w:rsidRPr="00507898" w:rsidR="00507898">
        <w:rPr>
          <w:rFonts w:ascii="Times New Roman" w:hAnsi="Times New Roman" w:cs="Times New Roman"/>
          <w:sz w:val="24"/>
          <w:szCs w:val="24"/>
        </w:rPr>
        <w:t>Chelouche</w:t>
      </w:r>
      <w:r w:rsidR="00507898">
        <w:rPr>
          <w:rFonts w:ascii="Times New Roman" w:hAnsi="Times New Roman" w:cs="Times New Roman"/>
          <w:sz w:val="24"/>
          <w:szCs w:val="24"/>
        </w:rPr>
        <w:t xml:space="preserve"> </w:t>
      </w:r>
      <w:r w:rsidRPr="00507898" w:rsidR="00507898">
        <w:rPr>
          <w:rFonts w:ascii="Times New Roman" w:hAnsi="Times New Roman" w:cs="Times New Roman"/>
          <w:sz w:val="24"/>
          <w:szCs w:val="24"/>
        </w:rPr>
        <w:t>&amp; Wynia,</w:t>
      </w:r>
      <w:r w:rsidR="00507898">
        <w:rPr>
          <w:rFonts w:ascii="Times New Roman" w:hAnsi="Times New Roman" w:cs="Times New Roman"/>
          <w:sz w:val="24"/>
          <w:szCs w:val="24"/>
        </w:rPr>
        <w:t xml:space="preserve"> </w:t>
      </w:r>
      <w:r w:rsidRPr="00507898" w:rsidR="00507898">
        <w:rPr>
          <w:rFonts w:ascii="Times New Roman" w:hAnsi="Times New Roman" w:cs="Times New Roman"/>
          <w:sz w:val="24"/>
          <w:szCs w:val="24"/>
        </w:rPr>
        <w:t>2021)</w:t>
      </w:r>
      <w:r w:rsidR="00AE3CE5">
        <w:rPr>
          <w:rFonts w:ascii="Times New Roman" w:hAnsi="Times New Roman" w:cs="Times New Roman"/>
          <w:sz w:val="24"/>
          <w:szCs w:val="24"/>
        </w:rPr>
        <w:t xml:space="preserve">. </w:t>
      </w:r>
    </w:p>
    <w:p w:rsidR="004B2A12" w:rsidP="00A67428" w14:paraId="7B11627B" w14:textId="692E9F09">
      <w:pPr>
        <w:rPr>
          <w:rFonts w:ascii="Times New Roman" w:hAnsi="Times New Roman" w:cs="Times New Roman"/>
          <w:sz w:val="24"/>
          <w:szCs w:val="24"/>
        </w:rPr>
      </w:pPr>
      <w:r>
        <w:rPr>
          <w:rFonts w:ascii="Times New Roman" w:hAnsi="Times New Roman" w:cs="Times New Roman"/>
          <w:sz w:val="24"/>
          <w:szCs w:val="24"/>
        </w:rPr>
        <w:t>I think these regulations should be tightened rather than being banned. Provision of care should not entirely be guided by the search for money. Other more important considerations need to be accounted for. Stakeholders such as regulators, channel members, peers, investors, employees, and customers are an essential part of</w:t>
      </w:r>
      <w:r w:rsidR="00127189">
        <w:rPr>
          <w:rFonts w:ascii="Times New Roman" w:hAnsi="Times New Roman" w:cs="Times New Roman"/>
          <w:sz w:val="24"/>
          <w:szCs w:val="24"/>
        </w:rPr>
        <w:t xml:space="preserve"> society. marketers need to realize that their success is highly influenced by these stakeholders. Since they are also human beings that ought to be treated with dignity, the AMA Codes of ethics should be tightened to enhance their dignity. Competitors should not be excluded in this case. The AMA Codes of ethics protect their wellbeing and they mean no harm to anyone. </w:t>
      </w:r>
    </w:p>
    <w:p w:rsidR="006A298E" w14:paraId="3C980B3D" w14:textId="2FF3FD60">
      <w:pPr>
        <w:rPr>
          <w:rFonts w:ascii="Times New Roman" w:hAnsi="Times New Roman" w:cs="Times New Roman"/>
          <w:sz w:val="24"/>
          <w:szCs w:val="24"/>
        </w:rPr>
      </w:pPr>
      <w:r>
        <w:rPr>
          <w:rFonts w:ascii="Times New Roman" w:hAnsi="Times New Roman" w:cs="Times New Roman"/>
          <w:sz w:val="24"/>
          <w:szCs w:val="24"/>
        </w:rPr>
        <w:br w:type="page"/>
      </w:r>
    </w:p>
    <w:p w:rsidR="006A298E" w:rsidP="006A298E" w14:paraId="3E4C1A07" w14:textId="77C7B5AC">
      <w:pPr>
        <w:ind w:firstLine="0"/>
        <w:jc w:val="center"/>
        <w:rPr>
          <w:rFonts w:ascii="Times New Roman" w:hAnsi="Times New Roman" w:cs="Times New Roman"/>
          <w:b/>
          <w:bCs/>
          <w:sz w:val="24"/>
          <w:szCs w:val="24"/>
        </w:rPr>
      </w:pPr>
      <w:r w:rsidRPr="006A298E">
        <w:rPr>
          <w:rFonts w:ascii="Times New Roman" w:hAnsi="Times New Roman" w:cs="Times New Roman"/>
          <w:b/>
          <w:bCs/>
          <w:sz w:val="24"/>
          <w:szCs w:val="24"/>
        </w:rPr>
        <w:t>References</w:t>
      </w:r>
    </w:p>
    <w:p w:rsidR="006A298E" w:rsidP="009B2F10" w14:paraId="43918045" w14:textId="2A4ABE60">
      <w:pPr>
        <w:ind w:left="720" w:hanging="720"/>
        <w:rPr>
          <w:rFonts w:ascii="Times New Roman" w:hAnsi="Times New Roman" w:cs="Times New Roman"/>
          <w:sz w:val="24"/>
          <w:szCs w:val="24"/>
        </w:rPr>
      </w:pPr>
      <w:r w:rsidRPr="006A298E">
        <w:rPr>
          <w:rFonts w:ascii="Times New Roman" w:hAnsi="Times New Roman" w:cs="Times New Roman"/>
          <w:sz w:val="24"/>
          <w:szCs w:val="24"/>
        </w:rPr>
        <w:t xml:space="preserve">Chelouche, T., &amp; Wynia, M. K. (2021). AMA </w:t>
      </w:r>
      <w:r>
        <w:rPr>
          <w:rFonts w:ascii="Times New Roman" w:hAnsi="Times New Roman" w:cs="Times New Roman"/>
          <w:sz w:val="24"/>
          <w:szCs w:val="24"/>
        </w:rPr>
        <w:t>Code</w:t>
      </w:r>
      <w:r w:rsidRPr="006A298E">
        <w:rPr>
          <w:rFonts w:ascii="Times New Roman" w:hAnsi="Times New Roman" w:cs="Times New Roman"/>
          <w:sz w:val="24"/>
          <w:szCs w:val="24"/>
        </w:rPr>
        <w:t xml:space="preserve"> of Ethics. </w:t>
      </w:r>
      <w:r w:rsidRPr="006A298E">
        <w:rPr>
          <w:rFonts w:ascii="Times New Roman" w:hAnsi="Times New Roman" w:cs="Times New Roman"/>
          <w:i/>
          <w:iCs/>
          <w:sz w:val="24"/>
          <w:szCs w:val="24"/>
        </w:rPr>
        <w:t>MEDICINE AND SOCIETY</w:t>
      </w:r>
      <w:r w:rsidRPr="006A298E">
        <w:rPr>
          <w:rFonts w:ascii="Times New Roman" w:hAnsi="Times New Roman" w:cs="Times New Roman"/>
          <w:sz w:val="24"/>
          <w:szCs w:val="24"/>
        </w:rPr>
        <w:t>, </w:t>
      </w:r>
      <w:r w:rsidRPr="006A298E">
        <w:rPr>
          <w:rFonts w:ascii="Times New Roman" w:hAnsi="Times New Roman" w:cs="Times New Roman"/>
          <w:i/>
          <w:iCs/>
          <w:sz w:val="24"/>
          <w:szCs w:val="24"/>
        </w:rPr>
        <w:t>23</w:t>
      </w:r>
      <w:r w:rsidRPr="006A298E">
        <w:rPr>
          <w:rFonts w:ascii="Times New Roman" w:hAnsi="Times New Roman" w:cs="Times New Roman"/>
          <w:sz w:val="24"/>
          <w:szCs w:val="24"/>
        </w:rPr>
        <w:t>(1), E59-63.</w:t>
      </w:r>
    </w:p>
    <w:p w:rsidR="00B83B1E" w:rsidP="009B2F10" w14:paraId="10764112" w14:textId="663592AA">
      <w:pPr>
        <w:ind w:left="720" w:hanging="720"/>
        <w:rPr>
          <w:rFonts w:ascii="Times New Roman" w:hAnsi="Times New Roman" w:cs="Times New Roman"/>
          <w:sz w:val="24"/>
          <w:szCs w:val="24"/>
        </w:rPr>
      </w:pPr>
      <w:r w:rsidRPr="00B83B1E">
        <w:rPr>
          <w:rFonts w:ascii="Times New Roman" w:hAnsi="Times New Roman" w:cs="Times New Roman"/>
          <w:sz w:val="24"/>
          <w:szCs w:val="24"/>
        </w:rPr>
        <w:t xml:space="preserve">Rentmeester, C. (2020). </w:t>
      </w:r>
      <w:r w:rsidRPr="00507898">
        <w:rPr>
          <w:rFonts w:ascii="Times New Roman" w:hAnsi="Times New Roman" w:cs="Times New Roman"/>
          <w:i/>
          <w:iCs/>
          <w:sz w:val="24"/>
          <w:szCs w:val="24"/>
        </w:rPr>
        <w:t>Pharmaceutical Advertising and the Subtle Subversion of Patient</w:t>
      </w:r>
      <w:r w:rsidRPr="00B83B1E">
        <w:rPr>
          <w:rFonts w:ascii="Times New Roman" w:hAnsi="Times New Roman" w:cs="Times New Roman"/>
          <w:sz w:val="24"/>
          <w:szCs w:val="24"/>
        </w:rPr>
        <w:t xml:space="preserve"> </w:t>
      </w:r>
      <w:r w:rsidRPr="00507898">
        <w:rPr>
          <w:rFonts w:ascii="Times New Roman" w:hAnsi="Times New Roman" w:cs="Times New Roman"/>
          <w:i/>
          <w:iCs/>
          <w:sz w:val="24"/>
          <w:szCs w:val="24"/>
        </w:rPr>
        <w:t>Autonomy</w:t>
      </w:r>
      <w:r w:rsidRPr="00B83B1E">
        <w:rPr>
          <w:rFonts w:ascii="Times New Roman" w:hAnsi="Times New Roman" w:cs="Times New Roman"/>
          <w:sz w:val="24"/>
          <w:szCs w:val="24"/>
        </w:rPr>
        <w:t>. </w:t>
      </w:r>
      <w:r w:rsidRPr="00507898">
        <w:rPr>
          <w:rFonts w:ascii="Times New Roman" w:hAnsi="Times New Roman" w:cs="Times New Roman"/>
          <w:sz w:val="24"/>
          <w:szCs w:val="24"/>
        </w:rPr>
        <w:t>Journal of Medical Humanities, 1-10.</w:t>
      </w:r>
    </w:p>
    <w:p w:rsidR="00B83B1E" w:rsidP="009B2F10" w14:paraId="30488203" w14:textId="384F85AC">
      <w:pPr>
        <w:ind w:left="720" w:hanging="720"/>
        <w:rPr>
          <w:rFonts w:ascii="Times New Roman" w:hAnsi="Times New Roman" w:cs="Times New Roman"/>
          <w:sz w:val="24"/>
          <w:szCs w:val="24"/>
        </w:rPr>
      </w:pPr>
      <w:r>
        <w:rPr>
          <w:rFonts w:ascii="Times New Roman" w:hAnsi="Times New Roman" w:cs="Times New Roman"/>
          <w:sz w:val="24"/>
          <w:szCs w:val="24"/>
        </w:rPr>
        <w:t>Vox (2016)</w:t>
      </w:r>
      <w:r w:rsidR="00507898">
        <w:rPr>
          <w:rFonts w:ascii="Times New Roman" w:hAnsi="Times New Roman" w:cs="Times New Roman"/>
          <w:sz w:val="24"/>
          <w:szCs w:val="24"/>
        </w:rPr>
        <w:t>.</w:t>
      </w:r>
      <w:r>
        <w:rPr>
          <w:rFonts w:ascii="Times New Roman" w:hAnsi="Times New Roman" w:cs="Times New Roman"/>
          <w:sz w:val="24"/>
          <w:szCs w:val="24"/>
        </w:rPr>
        <w:t xml:space="preserve"> </w:t>
      </w:r>
      <w:r w:rsidRPr="009B2F10">
        <w:rPr>
          <w:rFonts w:ascii="Times New Roman" w:hAnsi="Times New Roman" w:cs="Times New Roman"/>
          <w:i/>
          <w:iCs/>
          <w:sz w:val="24"/>
          <w:szCs w:val="24"/>
        </w:rPr>
        <w:t>How Americans got stuck with endless drug ads</w:t>
      </w:r>
      <w:r>
        <w:rPr>
          <w:rFonts w:ascii="Times New Roman" w:hAnsi="Times New Roman" w:cs="Times New Roman"/>
          <w:sz w:val="24"/>
          <w:szCs w:val="24"/>
        </w:rPr>
        <w:t xml:space="preserve">. YouTube Video Retrieved from </w:t>
      </w:r>
      <w:hyperlink r:id="rId4" w:history="1">
        <w:r w:rsidRPr="00376311">
          <w:rPr>
            <w:rStyle w:val="Hyperlink"/>
            <w:rFonts w:ascii="Times New Roman" w:hAnsi="Times New Roman" w:cs="Times New Roman"/>
            <w:sz w:val="24"/>
            <w:szCs w:val="24"/>
          </w:rPr>
          <w:t>https://youtu.be/_5jnn1AIt7Q</w:t>
        </w:r>
      </w:hyperlink>
      <w:r>
        <w:rPr>
          <w:rFonts w:ascii="Times New Roman" w:hAnsi="Times New Roman" w:cs="Times New Roman"/>
          <w:sz w:val="24"/>
          <w:szCs w:val="24"/>
        </w:rPr>
        <w:t xml:space="preserve"> on 29</w:t>
      </w:r>
      <w:r w:rsidRPr="009B2F10">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 2021.</w:t>
      </w:r>
    </w:p>
    <w:p w:rsidR="006A298E" w:rsidRPr="006A298E" w:rsidP="006A298E" w14:paraId="003B0D24" w14:textId="77777777">
      <w:pPr>
        <w:ind w:firstLine="0"/>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45428179"/>
      <w:docPartObj>
        <w:docPartGallery w:val="Page Numbers (Top of Page)"/>
        <w:docPartUnique/>
      </w:docPartObj>
    </w:sdtPr>
    <w:sdtEndPr>
      <w:rPr>
        <w:noProof/>
      </w:rPr>
    </w:sdtEndPr>
    <w:sdtContent>
      <w:p w:rsidR="00507898" w:rsidRPr="000365E7" w14:paraId="5307D929" w14:textId="27BCB27A">
        <w:pPr>
          <w:pStyle w:val="Header"/>
          <w:jc w:val="right"/>
          <w:rPr>
            <w:rFonts w:ascii="Times New Roman" w:hAnsi="Times New Roman" w:cs="Times New Roman"/>
            <w:sz w:val="24"/>
            <w:szCs w:val="24"/>
          </w:rPr>
        </w:pPr>
        <w:r w:rsidRPr="000365E7">
          <w:rPr>
            <w:rFonts w:ascii="Times New Roman" w:hAnsi="Times New Roman" w:cs="Times New Roman"/>
            <w:sz w:val="24"/>
            <w:szCs w:val="24"/>
          </w:rPr>
          <w:fldChar w:fldCharType="begin"/>
        </w:r>
        <w:r w:rsidRPr="000365E7">
          <w:rPr>
            <w:rFonts w:ascii="Times New Roman" w:hAnsi="Times New Roman" w:cs="Times New Roman"/>
            <w:sz w:val="24"/>
            <w:szCs w:val="24"/>
          </w:rPr>
          <w:instrText xml:space="preserve"> PAGE   \* MERGEFORMAT </w:instrText>
        </w:r>
        <w:r w:rsidRPr="000365E7">
          <w:rPr>
            <w:rFonts w:ascii="Times New Roman" w:hAnsi="Times New Roman" w:cs="Times New Roman"/>
            <w:sz w:val="24"/>
            <w:szCs w:val="24"/>
          </w:rPr>
          <w:fldChar w:fldCharType="separate"/>
        </w:r>
        <w:r w:rsidRPr="000365E7">
          <w:rPr>
            <w:rFonts w:ascii="Times New Roman" w:hAnsi="Times New Roman" w:cs="Times New Roman"/>
            <w:noProof/>
            <w:sz w:val="24"/>
            <w:szCs w:val="24"/>
          </w:rPr>
          <w:t>2</w:t>
        </w:r>
        <w:r w:rsidRPr="000365E7">
          <w:rPr>
            <w:rFonts w:ascii="Times New Roman" w:hAnsi="Times New Roman" w:cs="Times New Roman"/>
            <w:noProof/>
            <w:sz w:val="24"/>
            <w:szCs w:val="24"/>
          </w:rPr>
          <w:fldChar w:fldCharType="end"/>
        </w:r>
      </w:p>
    </w:sdtContent>
  </w:sdt>
  <w:p w:rsidR="00507898" w:rsidRPr="000365E7" w14:paraId="2C3EBE87" w14:textId="7777777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B0641E"/>
    <w:multiLevelType w:val="hybridMultilevel"/>
    <w:tmpl w:val="05A4C25C"/>
    <w:lvl w:ilvl="0">
      <w:start w:val="1"/>
      <w:numFmt w:val="decimal"/>
      <w:lvlText w:val="%1."/>
      <w:lvlJc w:val="left"/>
      <w:pPr>
        <w:ind w:left="420" w:hanging="360"/>
      </w:pPr>
      <w:rPr>
        <w:rFonts w:hint="default"/>
      </w:r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0E1"/>
    <w:rsid w:val="00002BD7"/>
    <w:rsid w:val="000365E7"/>
    <w:rsid w:val="00127189"/>
    <w:rsid w:val="00376311"/>
    <w:rsid w:val="00401D80"/>
    <w:rsid w:val="00457600"/>
    <w:rsid w:val="004B2A12"/>
    <w:rsid w:val="00507898"/>
    <w:rsid w:val="00634BFA"/>
    <w:rsid w:val="006A03FC"/>
    <w:rsid w:val="006A298E"/>
    <w:rsid w:val="006C5995"/>
    <w:rsid w:val="007D5649"/>
    <w:rsid w:val="007F4CB7"/>
    <w:rsid w:val="009143DA"/>
    <w:rsid w:val="009B2F10"/>
    <w:rsid w:val="00A67428"/>
    <w:rsid w:val="00AA07BB"/>
    <w:rsid w:val="00AE3CE5"/>
    <w:rsid w:val="00AE6FA3"/>
    <w:rsid w:val="00B83B1E"/>
    <w:rsid w:val="00BB42AF"/>
    <w:rsid w:val="00BC40E1"/>
    <w:rsid w:val="00C13AE3"/>
    <w:rsid w:val="00DC1506"/>
    <w:rsid w:val="00DE68B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036A607"/>
  <w15:chartTrackingRefBased/>
  <w15:docId w15:val="{49B3B416-C044-4DAE-8CE9-24990CF52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5649"/>
    <w:pPr>
      <w:ind w:left="720"/>
      <w:contextualSpacing/>
    </w:pPr>
  </w:style>
  <w:style w:type="paragraph" w:styleId="Header">
    <w:name w:val="header"/>
    <w:basedOn w:val="Normal"/>
    <w:link w:val="HeaderChar"/>
    <w:uiPriority w:val="99"/>
    <w:unhideWhenUsed/>
    <w:rsid w:val="004B2A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A12"/>
  </w:style>
  <w:style w:type="paragraph" w:styleId="Footer">
    <w:name w:val="footer"/>
    <w:basedOn w:val="Normal"/>
    <w:link w:val="FooterChar"/>
    <w:uiPriority w:val="99"/>
    <w:unhideWhenUsed/>
    <w:rsid w:val="004B2A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A12"/>
  </w:style>
  <w:style w:type="character" w:styleId="Hyperlink">
    <w:name w:val="Hyperlink"/>
    <w:basedOn w:val="DefaultParagraphFont"/>
    <w:uiPriority w:val="99"/>
    <w:unhideWhenUsed/>
    <w:rsid w:val="009B2F10"/>
    <w:rPr>
      <w:color w:val="0563C1" w:themeColor="hyperlink"/>
      <w:u w:val="single"/>
    </w:rPr>
  </w:style>
  <w:style w:type="character" w:customStyle="1" w:styleId="UnresolvedMention">
    <w:name w:val="Unresolved Mention"/>
    <w:basedOn w:val="DefaultParagraphFont"/>
    <w:uiPriority w:val="99"/>
    <w:semiHidden/>
    <w:unhideWhenUsed/>
    <w:rsid w:val="009B2F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youtu.be/_5jnn1AIt7Q"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2021-09-29T17:11:00Z</dcterms:created>
  <dcterms:modified xsi:type="dcterms:W3CDTF">2021-09-29T19:29:00Z</dcterms:modified>
</cp:coreProperties>
</file>